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318" w:rsidRDefault="005C72E2" w:rsidP="00A36318">
      <w:pPr>
        <w:spacing w:after="0"/>
        <w:jc w:val="center"/>
        <w:rPr>
          <w:b/>
          <w:color w:val="3B6B27"/>
          <w:sz w:val="40"/>
          <w:szCs w:val="40"/>
        </w:rPr>
      </w:pPr>
      <w:r w:rsidRPr="00A34B96">
        <w:rPr>
          <w:rFonts w:asciiTheme="majorHAnsi" w:eastAsiaTheme="minorHAnsi" w:hAnsiTheme="majorHAnsi" w:cstheme="majorHAnsi"/>
          <w:b/>
          <w:color w:val="3B6B27"/>
          <w:sz w:val="40"/>
          <w:szCs w:val="40"/>
        </w:rPr>
        <w:t>3RP 2017-2018 PLANNIN</w:t>
      </w:r>
      <w:r w:rsidR="007D3339" w:rsidRPr="007D3339">
        <w:rPr>
          <w:b/>
          <w:noProof/>
          <w:color w:val="3B6B27"/>
          <w:sz w:val="40"/>
          <w:szCs w:val="40"/>
          <w:lang w:val="en-GB" w:eastAsia="en-GB"/>
        </w:rPr>
        <w:drawing>
          <wp:anchor distT="0" distB="0" distL="114300" distR="114300" simplePos="0" relativeHeight="251658240" behindDoc="0" locked="0" layoutInCell="1" allowOverlap="1" wp14:anchorId="7BE6E3E9" wp14:editId="63C24D51">
            <wp:simplePos x="0" y="0"/>
            <wp:positionH relativeFrom="column">
              <wp:posOffset>4871720</wp:posOffset>
            </wp:positionH>
            <wp:positionV relativeFrom="paragraph">
              <wp:posOffset>-505460</wp:posOffset>
            </wp:positionV>
            <wp:extent cx="1508125" cy="978535"/>
            <wp:effectExtent l="0" t="0" r="0" b="0"/>
            <wp:wrapNone/>
            <wp:docPr id="1" name="Picture 1" descr="C:\Users\padilha\Desktop\Rui\UN Logos\3RP 2017\3RP (2017-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dilha\Desktop\Rui\UN Logos\3RP 2017\3RP (2017-201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eastAsiaTheme="minorHAnsi" w:hAnsiTheme="majorHAnsi" w:cstheme="majorHAnsi"/>
          <w:b/>
          <w:color w:val="3B6B27"/>
          <w:sz w:val="40"/>
          <w:szCs w:val="40"/>
        </w:rPr>
        <w:t>G</w:t>
      </w:r>
      <w:r>
        <w:rPr>
          <w:rFonts w:asciiTheme="majorHAnsi" w:eastAsiaTheme="minorHAnsi" w:hAnsiTheme="majorHAnsi" w:cstheme="majorHAnsi"/>
          <w:b/>
          <w:color w:val="3B6B27"/>
          <w:sz w:val="40"/>
          <w:szCs w:val="40"/>
        </w:rPr>
        <w:br/>
      </w:r>
      <w:r w:rsidR="00A36318" w:rsidRPr="007D3339">
        <w:rPr>
          <w:b/>
          <w:color w:val="3B6B27"/>
          <w:sz w:val="40"/>
          <w:szCs w:val="40"/>
        </w:rPr>
        <w:t>GUIDANCE NOTE</w:t>
      </w:r>
      <w:r w:rsidR="00C847A4" w:rsidRPr="007D3339">
        <w:rPr>
          <w:b/>
          <w:color w:val="3B6B27"/>
          <w:sz w:val="40"/>
          <w:szCs w:val="40"/>
        </w:rPr>
        <w:t xml:space="preserve"> 6</w:t>
      </w:r>
    </w:p>
    <w:p w:rsidR="00B231BC" w:rsidRPr="005C72E2" w:rsidRDefault="00B231BC" w:rsidP="00A36318">
      <w:pPr>
        <w:spacing w:after="0"/>
        <w:jc w:val="center"/>
        <w:rPr>
          <w:b/>
          <w:color w:val="3B6B27"/>
          <w:sz w:val="12"/>
          <w:szCs w:val="12"/>
        </w:rPr>
      </w:pPr>
    </w:p>
    <w:p w:rsidR="0030088C" w:rsidRDefault="0030088C" w:rsidP="00A36318">
      <w:pPr>
        <w:spacing w:after="0"/>
        <w:jc w:val="center"/>
        <w:rPr>
          <w:b/>
          <w:color w:val="9AC31C"/>
          <w:sz w:val="32"/>
          <w:szCs w:val="32"/>
        </w:rPr>
      </w:pPr>
      <w:r w:rsidRPr="007D3339">
        <w:rPr>
          <w:b/>
          <w:color w:val="9AC31C"/>
          <w:sz w:val="32"/>
          <w:szCs w:val="32"/>
        </w:rPr>
        <w:t>Protection</w:t>
      </w:r>
      <w:r w:rsidR="003A5C4F" w:rsidRPr="007D3339">
        <w:rPr>
          <w:b/>
          <w:color w:val="9AC31C"/>
          <w:sz w:val="32"/>
          <w:szCs w:val="32"/>
        </w:rPr>
        <w:t xml:space="preserve"> </w:t>
      </w:r>
      <w:r w:rsidRPr="007D3339">
        <w:rPr>
          <w:b/>
          <w:color w:val="9AC31C"/>
          <w:sz w:val="32"/>
          <w:szCs w:val="32"/>
        </w:rPr>
        <w:t>Mainstreaming</w:t>
      </w:r>
    </w:p>
    <w:p w:rsidR="00B231BC" w:rsidRPr="005C72E2" w:rsidRDefault="00B231BC" w:rsidP="00A36318">
      <w:pPr>
        <w:spacing w:after="0"/>
        <w:jc w:val="center"/>
        <w:rPr>
          <w:b/>
          <w:color w:val="9AC31C"/>
          <w:sz w:val="20"/>
          <w:szCs w:val="20"/>
        </w:rPr>
      </w:pPr>
    </w:p>
    <w:p w:rsidR="0030088C" w:rsidRPr="00A36318" w:rsidRDefault="0030088C" w:rsidP="00A36318">
      <w:pPr>
        <w:spacing w:after="0" w:line="240" w:lineRule="auto"/>
        <w:jc w:val="both"/>
        <w:rPr>
          <w:rFonts w:cs="Calibri"/>
        </w:rPr>
      </w:pPr>
      <w:r w:rsidRPr="00A36318">
        <w:rPr>
          <w:rFonts w:cs="Calibri"/>
        </w:rPr>
        <w:t>Protection mainstreaming seeks to incorporate the key protection principles for all sectors throughout the program</w:t>
      </w:r>
      <w:r w:rsidR="00A36318" w:rsidRPr="00A36318">
        <w:rPr>
          <w:rFonts w:cs="Calibri"/>
        </w:rPr>
        <w:t>me</w:t>
      </w:r>
      <w:r w:rsidRPr="00A36318">
        <w:rPr>
          <w:rFonts w:cs="Calibri"/>
        </w:rPr>
        <w:t xml:space="preserve"> cycle starting with assessment, design, implementation, monitoring and evaluation. </w:t>
      </w:r>
      <w:r w:rsidR="00A36318" w:rsidRPr="00A36318">
        <w:rPr>
          <w:rFonts w:cs="Calibri"/>
        </w:rPr>
        <w:t xml:space="preserve"> </w:t>
      </w:r>
      <w:r w:rsidRPr="00A36318">
        <w:rPr>
          <w:rFonts w:cs="Calibri"/>
        </w:rPr>
        <w:t xml:space="preserve">Often, protection mainstreaming does not change what is delivered, but provides clarity </w:t>
      </w:r>
      <w:r w:rsidR="00674802">
        <w:rPr>
          <w:rFonts w:cs="Calibri"/>
        </w:rPr>
        <w:t xml:space="preserve">to why it is delivered and how. </w:t>
      </w:r>
      <w:r w:rsidRPr="00A36318">
        <w:rPr>
          <w:rFonts w:cs="Calibri"/>
        </w:rPr>
        <w:t>Bringing a ‘protection lense</w:t>
      </w:r>
      <w:r w:rsidR="002E5FAC">
        <w:rPr>
          <w:rFonts w:cs="Calibri"/>
        </w:rPr>
        <w:t>s</w:t>
      </w:r>
      <w:r w:rsidRPr="00A36318">
        <w:rPr>
          <w:rFonts w:cs="Calibri"/>
        </w:rPr>
        <w:t>’ to the sectoral activities would require the following at minimum:</w:t>
      </w:r>
    </w:p>
    <w:p w:rsidR="00A36318" w:rsidRPr="00A36318" w:rsidRDefault="00A36318" w:rsidP="00A36318">
      <w:pPr>
        <w:spacing w:after="0" w:line="240" w:lineRule="auto"/>
        <w:jc w:val="both"/>
        <w:rPr>
          <w:rFonts w:cs="Calibri"/>
        </w:rPr>
      </w:pPr>
    </w:p>
    <w:p w:rsidR="0030088C" w:rsidRPr="00A36318" w:rsidRDefault="0030088C" w:rsidP="00A36318">
      <w:pPr>
        <w:spacing w:after="0" w:line="240" w:lineRule="auto"/>
        <w:jc w:val="both"/>
        <w:rPr>
          <w:rFonts w:cs="Calibri"/>
        </w:rPr>
      </w:pPr>
      <w:r w:rsidRPr="00A36318">
        <w:rPr>
          <w:rFonts w:cs="Calibri"/>
          <w:b/>
        </w:rPr>
        <w:t>Improving Access to Assistance and Services without Discrim</w:t>
      </w:r>
      <w:r w:rsidR="007D4DAB" w:rsidRPr="00A36318">
        <w:rPr>
          <w:rFonts w:cs="Calibri"/>
          <w:b/>
        </w:rPr>
        <w:t>in</w:t>
      </w:r>
      <w:r w:rsidRPr="00A36318">
        <w:rPr>
          <w:rFonts w:cs="Calibri"/>
          <w:b/>
        </w:rPr>
        <w:t>ation</w:t>
      </w:r>
      <w:r w:rsidRPr="00A36318">
        <w:rPr>
          <w:rFonts w:cs="Calibri"/>
        </w:rPr>
        <w:t xml:space="preserve">: The sector coordinators should highlight how activities, aimed at expanding access to services and assistance to women, men, girls and boys without discrimination while paying particular attention those with specific needs including elderly and disabled refugees; unaccompanied and separated boys and girls; and households headed by women, girls and boys. Programming should highlight activities that ensure equitable access despite identified challenges and/or barriers. </w:t>
      </w:r>
      <w:r w:rsidR="000279C0">
        <w:rPr>
          <w:rFonts w:cs="Calibri"/>
        </w:rPr>
        <w:t>S</w:t>
      </w:r>
      <w:r w:rsidRPr="00A36318">
        <w:rPr>
          <w:rFonts w:cs="Calibri"/>
        </w:rPr>
        <w:t xml:space="preserve">ectors </w:t>
      </w:r>
      <w:r w:rsidR="000279C0">
        <w:rPr>
          <w:rFonts w:cs="Calibri"/>
        </w:rPr>
        <w:t xml:space="preserve">should </w:t>
      </w:r>
      <w:r w:rsidRPr="00A36318">
        <w:rPr>
          <w:rFonts w:cs="Calibri"/>
        </w:rPr>
        <w:t xml:space="preserve">consult the IASC Gender Handbook for Humanitarian Action to explore the scope of actions that will meaningfully </w:t>
      </w:r>
      <w:r w:rsidRPr="003C0087">
        <w:rPr>
          <w:rFonts w:cs="Calibri"/>
        </w:rPr>
        <w:t>en</w:t>
      </w:r>
      <w:r w:rsidR="00397820" w:rsidRPr="003C0087">
        <w:rPr>
          <w:rFonts w:cs="Calibri"/>
        </w:rPr>
        <w:t>g</w:t>
      </w:r>
      <w:r w:rsidR="003C0087" w:rsidRPr="003C0087">
        <w:rPr>
          <w:rFonts w:cs="Calibri"/>
        </w:rPr>
        <w:t>age women, girls, boys and men</w:t>
      </w:r>
      <w:r w:rsidR="000279C0">
        <w:rPr>
          <w:rFonts w:cs="Calibri"/>
        </w:rPr>
        <w:t>.</w:t>
      </w:r>
      <w:bookmarkStart w:id="0" w:name="_GoBack"/>
      <w:bookmarkEnd w:id="0"/>
    </w:p>
    <w:p w:rsidR="00A36318" w:rsidRPr="00A36318" w:rsidRDefault="00A36318" w:rsidP="00A36318">
      <w:pPr>
        <w:spacing w:after="0" w:line="240" w:lineRule="auto"/>
        <w:jc w:val="both"/>
        <w:rPr>
          <w:rFonts w:cs="Calibri"/>
        </w:rPr>
      </w:pPr>
    </w:p>
    <w:p w:rsidR="002E5FAC" w:rsidRDefault="0030088C" w:rsidP="00A36318">
      <w:pPr>
        <w:spacing w:after="0" w:line="240" w:lineRule="auto"/>
        <w:jc w:val="both"/>
        <w:rPr>
          <w:rFonts w:cs="Calibri"/>
        </w:rPr>
      </w:pPr>
      <w:r w:rsidRPr="00A36318">
        <w:rPr>
          <w:rFonts w:cs="Calibri"/>
          <w:b/>
        </w:rPr>
        <w:t xml:space="preserve">Delivering Protection and Assistance in </w:t>
      </w:r>
      <w:r w:rsidRPr="002E5FAC">
        <w:rPr>
          <w:rFonts w:cs="Calibri"/>
          <w:b/>
        </w:rPr>
        <w:t>Safety and with Dignity</w:t>
      </w:r>
      <w:r w:rsidRPr="00A36318">
        <w:rPr>
          <w:rFonts w:cs="Calibri"/>
          <w:b/>
        </w:rPr>
        <w:t>:</w:t>
      </w:r>
      <w:r w:rsidRPr="00A36318">
        <w:rPr>
          <w:rFonts w:cs="Calibri"/>
        </w:rPr>
        <w:t xml:space="preserve"> Sector coordinators should ensure that activities in their design (and subsequent implementation) aim at reducing </w:t>
      </w:r>
      <w:r w:rsidR="007D4DAB" w:rsidRPr="00A36318">
        <w:rPr>
          <w:rFonts w:cs="Calibri"/>
        </w:rPr>
        <w:t xml:space="preserve">and mitigating </w:t>
      </w:r>
      <w:r w:rsidRPr="00A36318">
        <w:rPr>
          <w:rFonts w:cs="Calibri"/>
        </w:rPr>
        <w:t>protection risks</w:t>
      </w:r>
      <w:r w:rsidR="007D4DAB" w:rsidRPr="00A36318">
        <w:rPr>
          <w:rFonts w:cs="Calibri"/>
        </w:rPr>
        <w:t xml:space="preserve"> including the risk of SGBV</w:t>
      </w:r>
      <w:r w:rsidRPr="00A36318">
        <w:rPr>
          <w:rFonts w:cs="Calibri"/>
        </w:rPr>
        <w:t xml:space="preserve"> to women, men, girls and boys and promoting an environment where protection and assistance are delivered in safety and with dignity.   This includes paying attention to the identified dynamics within households and in public spaces.  </w:t>
      </w:r>
      <w:r w:rsidR="000279C0">
        <w:rPr>
          <w:rFonts w:cs="Calibri"/>
        </w:rPr>
        <w:t xml:space="preserve">The </w:t>
      </w:r>
      <w:r w:rsidRPr="00A36318">
        <w:rPr>
          <w:rFonts w:cs="Calibri"/>
        </w:rPr>
        <w:t xml:space="preserve">programming </w:t>
      </w:r>
      <w:r w:rsidR="000279C0">
        <w:rPr>
          <w:rFonts w:cs="Calibri"/>
        </w:rPr>
        <w:t xml:space="preserve">should </w:t>
      </w:r>
      <w:r w:rsidRPr="00A36318">
        <w:rPr>
          <w:rFonts w:cs="Calibri"/>
        </w:rPr>
        <w:t>adhere</w:t>
      </w:r>
      <w:r w:rsidR="000279C0">
        <w:rPr>
          <w:rFonts w:cs="Calibri"/>
        </w:rPr>
        <w:t xml:space="preserve"> </w:t>
      </w:r>
      <w:r w:rsidRPr="00A36318">
        <w:rPr>
          <w:rFonts w:cs="Calibri"/>
        </w:rPr>
        <w:t>to the IASC Guidelines for GBV Interventions in Humanitarian Settings</w:t>
      </w:r>
      <w:r w:rsidR="00CF30E4" w:rsidRPr="00CF30E4">
        <w:rPr>
          <w:rFonts w:cs="Calibri"/>
        </w:rPr>
        <w:t xml:space="preserve"> </w:t>
      </w:r>
      <w:r w:rsidR="00CF30E4" w:rsidRPr="003C0087">
        <w:rPr>
          <w:rFonts w:cs="Calibri"/>
        </w:rPr>
        <w:t>and the</w:t>
      </w:r>
      <w:r w:rsidR="000279C0">
        <w:rPr>
          <w:rFonts w:cs="Calibri"/>
        </w:rPr>
        <w:t xml:space="preserve"> revised</w:t>
      </w:r>
      <w:r w:rsidR="00CF30E4" w:rsidRPr="003C0087">
        <w:rPr>
          <w:rFonts w:cs="Calibri"/>
        </w:rPr>
        <w:t xml:space="preserve"> IASC guidelines</w:t>
      </w:r>
      <w:r w:rsidR="00CF30E4">
        <w:rPr>
          <w:rFonts w:cs="Calibri"/>
        </w:rPr>
        <w:t xml:space="preserve"> for integrating GBV interventions in </w:t>
      </w:r>
      <w:r w:rsidR="00A5731A">
        <w:rPr>
          <w:rFonts w:cs="Calibri"/>
        </w:rPr>
        <w:t>Humanitarian</w:t>
      </w:r>
      <w:r w:rsidR="00CF30E4">
        <w:rPr>
          <w:rFonts w:cs="Calibri"/>
        </w:rPr>
        <w:t xml:space="preserve"> interventions</w:t>
      </w:r>
      <w:r w:rsidR="000279C0">
        <w:rPr>
          <w:rFonts w:cs="Calibri"/>
        </w:rPr>
        <w:t>.</w:t>
      </w:r>
    </w:p>
    <w:p w:rsidR="00B67D8A" w:rsidRPr="00A36318" w:rsidRDefault="00B67D8A" w:rsidP="00A36318">
      <w:pPr>
        <w:spacing w:after="0" w:line="240" w:lineRule="auto"/>
        <w:jc w:val="both"/>
        <w:rPr>
          <w:rFonts w:cs="Calibri"/>
        </w:rPr>
      </w:pPr>
    </w:p>
    <w:p w:rsidR="00A36318" w:rsidRDefault="002E5FAC" w:rsidP="00A36318">
      <w:pPr>
        <w:spacing w:after="0" w:line="240" w:lineRule="auto"/>
        <w:jc w:val="both"/>
        <w:rPr>
          <w:rFonts w:cs="Calibri"/>
        </w:rPr>
      </w:pPr>
      <w:r>
        <w:rPr>
          <w:rFonts w:cs="Calibri"/>
        </w:rPr>
        <w:t xml:space="preserve">In line with the principle of </w:t>
      </w:r>
      <w:r w:rsidRPr="002E5FAC">
        <w:rPr>
          <w:rFonts w:cs="Calibri"/>
          <w:b/>
        </w:rPr>
        <w:t>“do no harm”</w:t>
      </w:r>
      <w:r>
        <w:rPr>
          <w:rFonts w:cs="Calibri"/>
        </w:rPr>
        <w:t>, s</w:t>
      </w:r>
      <w:r w:rsidRPr="00A36318">
        <w:rPr>
          <w:rFonts w:cs="Calibri"/>
        </w:rPr>
        <w:t>ector response plans and planned activities need to be based on an assessment of impact and understanding of gender dynamics, so that any unintended negative effects that may increase the vulnerabilities of women, men, girls and boys to protection risks as much as possible are prevented or minimized. Monitoring of the impact on supported women, girls, boys and men should be sufficient to uncover unintended consequences.</w:t>
      </w:r>
    </w:p>
    <w:p w:rsidR="002E5FAC" w:rsidRPr="00A36318" w:rsidRDefault="002E5FAC" w:rsidP="00A36318">
      <w:pPr>
        <w:spacing w:after="0" w:line="240" w:lineRule="auto"/>
        <w:jc w:val="both"/>
        <w:rPr>
          <w:rFonts w:cs="Calibri"/>
        </w:rPr>
      </w:pPr>
    </w:p>
    <w:p w:rsidR="0030088C" w:rsidRPr="00891BBF" w:rsidRDefault="0030088C" w:rsidP="00A36318">
      <w:pPr>
        <w:spacing w:after="0" w:line="240" w:lineRule="auto"/>
        <w:jc w:val="both"/>
        <w:rPr>
          <w:rFonts w:cs="Calibri"/>
        </w:rPr>
      </w:pPr>
      <w:r w:rsidRPr="00891BBF">
        <w:rPr>
          <w:rFonts w:cs="Calibri"/>
          <w:b/>
        </w:rPr>
        <w:t>E</w:t>
      </w:r>
      <w:r w:rsidR="002E5FAC" w:rsidRPr="00891BBF">
        <w:rPr>
          <w:rFonts w:cs="Calibri"/>
          <w:b/>
        </w:rPr>
        <w:t>mpowering and e</w:t>
      </w:r>
      <w:r w:rsidRPr="00891BBF">
        <w:rPr>
          <w:rFonts w:cs="Calibri"/>
          <w:b/>
        </w:rPr>
        <w:t xml:space="preserve">ngaging </w:t>
      </w:r>
      <w:r w:rsidR="002E5FAC" w:rsidRPr="00891BBF">
        <w:rPr>
          <w:rFonts w:cs="Calibri"/>
          <w:b/>
        </w:rPr>
        <w:t xml:space="preserve">with </w:t>
      </w:r>
      <w:r w:rsidRPr="00891BBF">
        <w:rPr>
          <w:rFonts w:cs="Calibri"/>
          <w:b/>
        </w:rPr>
        <w:t>Refugees and Communities for their Own Protection:</w:t>
      </w:r>
      <w:r w:rsidRPr="00891BBF">
        <w:rPr>
          <w:rFonts w:cs="Calibri"/>
        </w:rPr>
        <w:t xml:space="preserve"> Sector response plans and </w:t>
      </w:r>
      <w:proofErr w:type="spellStart"/>
      <w:r w:rsidRPr="00891BBF">
        <w:rPr>
          <w:rFonts w:cs="Calibri"/>
        </w:rPr>
        <w:t>programmes</w:t>
      </w:r>
      <w:proofErr w:type="spellEnd"/>
      <w:r w:rsidRPr="00891BBF">
        <w:rPr>
          <w:rFonts w:cs="Calibri"/>
        </w:rPr>
        <w:t xml:space="preserve"> should harness the capacity of women, men, girls and boys to contribute to the protection of their communities and their own protection. Community-based protection mechanisms and safety nets that engage women and men, girls and boys intended to benefit from the support are stronger and more likely to be transformative. Two-way communication with persons</w:t>
      </w:r>
      <w:r w:rsidR="000279C0">
        <w:rPr>
          <w:rFonts w:cs="Calibri"/>
        </w:rPr>
        <w:t xml:space="preserve"> irrespective where they stay in camps, urban, </w:t>
      </w:r>
      <w:proofErr w:type="spellStart"/>
      <w:r w:rsidR="000279C0">
        <w:rPr>
          <w:rFonts w:cs="Calibri"/>
        </w:rPr>
        <w:t>peri</w:t>
      </w:r>
      <w:proofErr w:type="spellEnd"/>
      <w:r w:rsidR="000279C0">
        <w:rPr>
          <w:rFonts w:cs="Calibri"/>
        </w:rPr>
        <w:t xml:space="preserve">-urban or rural areas, </w:t>
      </w:r>
      <w:proofErr w:type="gramStart"/>
      <w:r w:rsidR="000279C0">
        <w:rPr>
          <w:rFonts w:cs="Calibri"/>
        </w:rPr>
        <w:t>in</w:t>
      </w:r>
      <w:proofErr w:type="gramEnd"/>
      <w:r w:rsidR="000279C0">
        <w:rPr>
          <w:rFonts w:cs="Calibri"/>
        </w:rPr>
        <w:t xml:space="preserve"> particular </w:t>
      </w:r>
      <w:r w:rsidRPr="00891BBF">
        <w:rPr>
          <w:rFonts w:cs="Calibri"/>
        </w:rPr>
        <w:t>urban/rural areas</w:t>
      </w:r>
      <w:r w:rsidR="00CF30E4">
        <w:rPr>
          <w:rFonts w:cs="Calibri"/>
        </w:rPr>
        <w:t xml:space="preserve"> </w:t>
      </w:r>
      <w:r w:rsidR="000279C0">
        <w:rPr>
          <w:rFonts w:cs="Calibri"/>
        </w:rPr>
        <w:t xml:space="preserve">those </w:t>
      </w:r>
      <w:r w:rsidR="00A36318" w:rsidRPr="00891BBF">
        <w:rPr>
          <w:rFonts w:cs="Calibri"/>
        </w:rPr>
        <w:t>who</w:t>
      </w:r>
      <w:r w:rsidRPr="00891BBF">
        <w:rPr>
          <w:rFonts w:cs="Calibri"/>
        </w:rPr>
        <w:t xml:space="preserve"> </w:t>
      </w:r>
      <w:r w:rsidR="00A36318" w:rsidRPr="00891BBF">
        <w:rPr>
          <w:rFonts w:cs="Calibri"/>
        </w:rPr>
        <w:t>might be excluded from decision-</w:t>
      </w:r>
      <w:r w:rsidRPr="00891BBF">
        <w:rPr>
          <w:rFonts w:cs="Calibri"/>
        </w:rPr>
        <w:t>making processes, should be strengthened as needed. Participation of refugees and communities in the development of sector response plans and activities throughout the programme cycle is encouraged.</w:t>
      </w:r>
    </w:p>
    <w:p w:rsidR="00A36318" w:rsidRPr="00891BBF" w:rsidRDefault="00A36318" w:rsidP="00A36318">
      <w:pPr>
        <w:spacing w:after="0" w:line="240" w:lineRule="auto"/>
        <w:jc w:val="both"/>
        <w:rPr>
          <w:rFonts w:cs="Calibri"/>
        </w:rPr>
      </w:pPr>
    </w:p>
    <w:p w:rsidR="00946E49" w:rsidRPr="00674802" w:rsidRDefault="002E5FAC" w:rsidP="00A36318">
      <w:pPr>
        <w:spacing w:after="0" w:line="240" w:lineRule="auto"/>
        <w:jc w:val="both"/>
        <w:rPr>
          <w:rFonts w:ascii="Times New Roman" w:eastAsia="Times New Roman" w:hAnsi="Times New Roman"/>
          <w:color w:val="333333"/>
          <w:sz w:val="20"/>
          <w:szCs w:val="20"/>
          <w:lang w:val="en-GB" w:eastAsia="en-GB"/>
        </w:rPr>
      </w:pPr>
      <w:r w:rsidRPr="00891BBF">
        <w:rPr>
          <w:rFonts w:cs="Calibri"/>
        </w:rPr>
        <w:t xml:space="preserve">Sector coordination </w:t>
      </w:r>
      <w:r w:rsidR="00946E49" w:rsidRPr="00891BBF">
        <w:rPr>
          <w:rFonts w:cs="Calibri"/>
        </w:rPr>
        <w:t>shall</w:t>
      </w:r>
      <w:r w:rsidRPr="00891BBF">
        <w:rPr>
          <w:rFonts w:cs="Calibri"/>
        </w:rPr>
        <w:t xml:space="preserve"> promote the setting up of </w:t>
      </w:r>
      <w:r w:rsidRPr="00891BBF">
        <w:t xml:space="preserve">appropriate mechanisms through which </w:t>
      </w:r>
      <w:r w:rsidR="00674802" w:rsidRPr="00891BBF">
        <w:t>affected populations</w:t>
      </w:r>
      <w:r w:rsidR="00946E49" w:rsidRPr="00891BBF">
        <w:t xml:space="preserve"> </w:t>
      </w:r>
      <w:r w:rsidRPr="00891BBF">
        <w:t>can measure the adequacy of interventions, and address concerns and complaints</w:t>
      </w:r>
      <w:r w:rsidR="00A5731A">
        <w:t>, including on Sexual Exploitation and Abuse</w:t>
      </w:r>
      <w:r w:rsidR="00946E49" w:rsidRPr="00891BBF">
        <w:t xml:space="preserve">. This can be done by </w:t>
      </w:r>
      <w:r w:rsidR="00674802" w:rsidRPr="00891BBF">
        <w:t xml:space="preserve">involving affected populations in the design, monitor and evaluation of the goals and objectives of </w:t>
      </w:r>
      <w:proofErr w:type="spellStart"/>
      <w:r w:rsidR="00674802" w:rsidRPr="00891BBF">
        <w:t>programmes</w:t>
      </w:r>
      <w:proofErr w:type="spellEnd"/>
      <w:r w:rsidR="00674802" w:rsidRPr="00891BBF">
        <w:t xml:space="preserve">, reporting on the results of the process, </w:t>
      </w:r>
      <w:r w:rsidR="00946E49" w:rsidRPr="00891BBF">
        <w:rPr>
          <w:color w:val="333333"/>
          <w:shd w:val="clear" w:color="auto" w:fill="FFFFFF"/>
        </w:rPr>
        <w:t>providing accessible and timely information on, for instance, organizational procedures and processes that affect the</w:t>
      </w:r>
      <w:r w:rsidR="00674802" w:rsidRPr="00891BBF">
        <w:rPr>
          <w:color w:val="333333"/>
          <w:shd w:val="clear" w:color="auto" w:fill="FFFFFF"/>
        </w:rPr>
        <w:t>se populations</w:t>
      </w:r>
      <w:r w:rsidR="00946E49" w:rsidRPr="00891BBF">
        <w:rPr>
          <w:color w:val="333333"/>
          <w:shd w:val="clear" w:color="auto" w:fill="FFFFFF"/>
        </w:rPr>
        <w:t xml:space="preserve"> to ensure that they can make informed decisions and choices, and facilitate a dialogue between </w:t>
      </w:r>
      <w:r w:rsidR="00674802" w:rsidRPr="00891BBF">
        <w:rPr>
          <w:color w:val="333333"/>
          <w:shd w:val="clear" w:color="auto" w:fill="FFFFFF"/>
        </w:rPr>
        <w:t xml:space="preserve">them and </w:t>
      </w:r>
      <w:r w:rsidR="00946E49" w:rsidRPr="00891BBF">
        <w:rPr>
          <w:color w:val="333333"/>
          <w:shd w:val="clear" w:color="auto" w:fill="FFFFFF"/>
        </w:rPr>
        <w:t>relevant actors</w:t>
      </w:r>
      <w:r w:rsidR="00674802" w:rsidRPr="00891BBF">
        <w:rPr>
          <w:rFonts w:ascii="Times New Roman" w:eastAsia="Times New Roman" w:hAnsi="Times New Roman"/>
          <w:color w:val="333333"/>
          <w:lang w:val="en-GB" w:eastAsia="en-GB"/>
        </w:rPr>
        <w:t>.</w:t>
      </w:r>
    </w:p>
    <w:sectPr w:rsidR="00946E49" w:rsidRPr="00674802" w:rsidSect="005C72E2">
      <w:headerReference w:type="even" r:id="rId9"/>
      <w:headerReference w:type="default" r:id="rId10"/>
      <w:footerReference w:type="even" r:id="rId11"/>
      <w:footerReference w:type="default" r:id="rId12"/>
      <w:headerReference w:type="first" r:id="rId13"/>
      <w:footerReference w:type="first" r:id="rId14"/>
      <w:pgSz w:w="11907" w:h="16839" w:code="9"/>
      <w:pgMar w:top="568" w:right="1440"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1BF" w:rsidRDefault="00DB71BF" w:rsidP="00DA1F76">
      <w:pPr>
        <w:spacing w:after="0" w:line="240" w:lineRule="auto"/>
      </w:pPr>
      <w:r>
        <w:separator/>
      </w:r>
    </w:p>
  </w:endnote>
  <w:endnote w:type="continuationSeparator" w:id="0">
    <w:p w:rsidR="00DB71BF" w:rsidRDefault="00DB71BF" w:rsidP="00DA1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1BF" w:rsidRDefault="00DB71BF" w:rsidP="00DA1F76">
      <w:pPr>
        <w:spacing w:after="0" w:line="240" w:lineRule="auto"/>
      </w:pPr>
      <w:r>
        <w:separator/>
      </w:r>
    </w:p>
  </w:footnote>
  <w:footnote w:type="continuationSeparator" w:id="0">
    <w:p w:rsidR="00DB71BF" w:rsidRDefault="00DB71BF" w:rsidP="00DA1F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B5016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DF754A0"/>
    <w:multiLevelType w:val="multilevel"/>
    <w:tmpl w:val="AB5C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displayVerticalDrawingGridEvery w:val="2"/>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28F"/>
    <w:rsid w:val="000279C0"/>
    <w:rsid w:val="00084CCE"/>
    <w:rsid w:val="000F6869"/>
    <w:rsid w:val="001977EA"/>
    <w:rsid w:val="00272CDB"/>
    <w:rsid w:val="002A24CB"/>
    <w:rsid w:val="002C4D26"/>
    <w:rsid w:val="002E5FAC"/>
    <w:rsid w:val="0030088C"/>
    <w:rsid w:val="00397820"/>
    <w:rsid w:val="003A5C4F"/>
    <w:rsid w:val="003B628F"/>
    <w:rsid w:val="003C0087"/>
    <w:rsid w:val="005C72E2"/>
    <w:rsid w:val="00612724"/>
    <w:rsid w:val="00632324"/>
    <w:rsid w:val="00674802"/>
    <w:rsid w:val="007546D5"/>
    <w:rsid w:val="007D3339"/>
    <w:rsid w:val="007D4DAB"/>
    <w:rsid w:val="00891BBF"/>
    <w:rsid w:val="00946E49"/>
    <w:rsid w:val="00A36318"/>
    <w:rsid w:val="00A5731A"/>
    <w:rsid w:val="00B231BC"/>
    <w:rsid w:val="00B67D8A"/>
    <w:rsid w:val="00C216C3"/>
    <w:rsid w:val="00C847A4"/>
    <w:rsid w:val="00CF30E4"/>
    <w:rsid w:val="00D77186"/>
    <w:rsid w:val="00DA1F76"/>
    <w:rsid w:val="00DB71BF"/>
    <w:rsid w:val="00DF7FA5"/>
    <w:rsid w:val="00F5745C"/>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15:docId w15:val="{781B49F2-8D6A-4709-A9F7-BA427ACA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946E49"/>
    <w:rPr>
      <w:b/>
      <w:bCs/>
    </w:rPr>
  </w:style>
  <w:style w:type="paragraph" w:customStyle="1" w:styleId="bleubig">
    <w:name w:val="bleubig"/>
    <w:basedOn w:val="Normal"/>
    <w:rsid w:val="00946E49"/>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Header">
    <w:name w:val="header"/>
    <w:basedOn w:val="Normal"/>
    <w:link w:val="HeaderChar"/>
    <w:uiPriority w:val="99"/>
    <w:unhideWhenUsed/>
    <w:rsid w:val="00DA1F76"/>
    <w:pPr>
      <w:tabs>
        <w:tab w:val="center" w:pos="4320"/>
        <w:tab w:val="right" w:pos="8640"/>
      </w:tabs>
    </w:pPr>
  </w:style>
  <w:style w:type="character" w:customStyle="1" w:styleId="HeaderChar">
    <w:name w:val="Header Char"/>
    <w:link w:val="Header"/>
    <w:uiPriority w:val="99"/>
    <w:rsid w:val="00DA1F76"/>
    <w:rPr>
      <w:sz w:val="22"/>
      <w:szCs w:val="22"/>
      <w:lang w:val="en-US"/>
    </w:rPr>
  </w:style>
  <w:style w:type="paragraph" w:styleId="Footer">
    <w:name w:val="footer"/>
    <w:basedOn w:val="Normal"/>
    <w:link w:val="FooterChar"/>
    <w:uiPriority w:val="99"/>
    <w:unhideWhenUsed/>
    <w:rsid w:val="00DA1F76"/>
    <w:pPr>
      <w:tabs>
        <w:tab w:val="center" w:pos="4320"/>
        <w:tab w:val="right" w:pos="8640"/>
      </w:tabs>
    </w:pPr>
  </w:style>
  <w:style w:type="character" w:customStyle="1" w:styleId="FooterChar">
    <w:name w:val="Footer Char"/>
    <w:link w:val="Footer"/>
    <w:uiPriority w:val="99"/>
    <w:rsid w:val="00DA1F76"/>
    <w:rPr>
      <w:sz w:val="22"/>
      <w:szCs w:val="22"/>
      <w:lang w:val="en-US"/>
    </w:rPr>
  </w:style>
  <w:style w:type="character" w:styleId="CommentReference">
    <w:name w:val="annotation reference"/>
    <w:basedOn w:val="DefaultParagraphFont"/>
    <w:uiPriority w:val="99"/>
    <w:semiHidden/>
    <w:unhideWhenUsed/>
    <w:rsid w:val="003C0087"/>
    <w:rPr>
      <w:sz w:val="16"/>
      <w:szCs w:val="16"/>
    </w:rPr>
  </w:style>
  <w:style w:type="paragraph" w:styleId="CommentText">
    <w:name w:val="annotation text"/>
    <w:basedOn w:val="Normal"/>
    <w:link w:val="CommentTextChar"/>
    <w:uiPriority w:val="99"/>
    <w:semiHidden/>
    <w:unhideWhenUsed/>
    <w:rsid w:val="003C0087"/>
    <w:rPr>
      <w:sz w:val="20"/>
      <w:szCs w:val="20"/>
    </w:rPr>
  </w:style>
  <w:style w:type="character" w:customStyle="1" w:styleId="CommentTextChar">
    <w:name w:val="Comment Text Char"/>
    <w:basedOn w:val="DefaultParagraphFont"/>
    <w:link w:val="CommentText"/>
    <w:uiPriority w:val="99"/>
    <w:semiHidden/>
    <w:rsid w:val="003C0087"/>
    <w:rPr>
      <w:lang w:val="en-US" w:eastAsia="en-US"/>
    </w:rPr>
  </w:style>
  <w:style w:type="paragraph" w:styleId="CommentSubject">
    <w:name w:val="annotation subject"/>
    <w:basedOn w:val="CommentText"/>
    <w:next w:val="CommentText"/>
    <w:link w:val="CommentSubjectChar"/>
    <w:uiPriority w:val="99"/>
    <w:semiHidden/>
    <w:unhideWhenUsed/>
    <w:rsid w:val="003C0087"/>
    <w:rPr>
      <w:b/>
      <w:bCs/>
    </w:rPr>
  </w:style>
  <w:style w:type="character" w:customStyle="1" w:styleId="CommentSubjectChar">
    <w:name w:val="Comment Subject Char"/>
    <w:basedOn w:val="CommentTextChar"/>
    <w:link w:val="CommentSubject"/>
    <w:uiPriority w:val="99"/>
    <w:semiHidden/>
    <w:rsid w:val="003C0087"/>
    <w:rPr>
      <w:b/>
      <w:bCs/>
      <w:lang w:val="en-US" w:eastAsia="en-US"/>
    </w:rPr>
  </w:style>
  <w:style w:type="paragraph" w:styleId="BalloonText">
    <w:name w:val="Balloon Text"/>
    <w:basedOn w:val="Normal"/>
    <w:link w:val="BalloonTextChar"/>
    <w:uiPriority w:val="99"/>
    <w:semiHidden/>
    <w:unhideWhenUsed/>
    <w:rsid w:val="003C00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087"/>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02836">
      <w:bodyDiv w:val="1"/>
      <w:marLeft w:val="0"/>
      <w:marRight w:val="0"/>
      <w:marTop w:val="0"/>
      <w:marBottom w:val="0"/>
      <w:divBdr>
        <w:top w:val="none" w:sz="0" w:space="0" w:color="auto"/>
        <w:left w:val="none" w:sz="0" w:space="0" w:color="auto"/>
        <w:bottom w:val="none" w:sz="0" w:space="0" w:color="auto"/>
        <w:right w:val="none" w:sz="0" w:space="0" w:color="auto"/>
      </w:divBdr>
    </w:div>
    <w:div w:id="154225307">
      <w:bodyDiv w:val="1"/>
      <w:marLeft w:val="0"/>
      <w:marRight w:val="0"/>
      <w:marTop w:val="0"/>
      <w:marBottom w:val="0"/>
      <w:divBdr>
        <w:top w:val="none" w:sz="0" w:space="0" w:color="auto"/>
        <w:left w:val="none" w:sz="0" w:space="0" w:color="auto"/>
        <w:bottom w:val="none" w:sz="0" w:space="0" w:color="auto"/>
        <w:right w:val="none" w:sz="0" w:space="0" w:color="auto"/>
      </w:divBdr>
    </w:div>
    <w:div w:id="20113707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D8BA0-C342-4C61-B872-422E1662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585</Words>
  <Characters>3225</Characters>
  <Application>Microsoft Office Word</Application>
  <DocSecurity>0</DocSecurity>
  <Lines>100</Lines>
  <Paragraphs>35</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UNHCRuser</dc:creator>
  <cp:lastModifiedBy>Rui Padilha</cp:lastModifiedBy>
  <cp:revision>11</cp:revision>
  <cp:lastPrinted>2015-08-31T09:10:00Z</cp:lastPrinted>
  <dcterms:created xsi:type="dcterms:W3CDTF">2015-08-31T06:38:00Z</dcterms:created>
  <dcterms:modified xsi:type="dcterms:W3CDTF">2016-09-07T11:31:00Z</dcterms:modified>
</cp:coreProperties>
</file>